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da99f1a95416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15501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Rapska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1.167.375,75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1.261.676,31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1.352.291,25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1.312.709,78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184.915,50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51.033,47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27,6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4.629,54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4.818,64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4.629,54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4.818,64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104,1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189.545,04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55.852,11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29,5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manjak prihoda se odnosi na plaće za lipanj za koje su prikazani rashodi dok se prihodi ostvaruju u srpnju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877.229,94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945.368,81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107,8</w:t>
            </w:r>
          </w:p>
        </w:tc>
      </w:tr>
    </w:tbl>
    <w:p>
      <w:pPr>
        <w:spacing w:before="0" w:after="0"/>
      </w:pPr>
    </w:p>
    <w:p>
      <w:r>
        <w:t xml:space="preserve">Do povećanja je dovelo:</w:t>
      </w:r>
    </w:p>
    <w:p>
      <w:pPr>
        <w:pStyle w:val="ListParagraph"/>
        <w:numPr>
          <w:ilvl w:val="0"/>
          <w:numId w:val="2"/>
        </w:numPr>
      </w:pPr>
      <w:r>
        <w:t xml:space="preserve">povećanje osnovica plaća dva puta u prvoj polovici 2026. god.</w:t>
      </w:r>
    </w:p>
    <w:p>
      <w:pPr>
        <w:pStyle w:val="ListParagraph"/>
        <w:numPr>
          <w:ilvl w:val="0"/>
          <w:numId w:val="2"/>
        </w:numPr>
      </w:pPr>
      <w:r>
        <w:t xml:space="preserve">škola je provodila nekoliko preventivnih programa MZOM, projekt za darovite učenike te izvannastavne aktivnosti za koje je dobila sredstva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2.768,00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u prethodnom razdoblju primljena je završna uplata za Erasmus, a u 2026. OŠ Rapska nije sudjelovala u Erasmusu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5.116,34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Iznos se odnosi na:</w:t>
      </w:r>
    </w:p>
    <w:p>
      <w:pPr>
        <w:pStyle w:val="ListParagraph"/>
        <w:numPr>
          <w:ilvl w:val="0"/>
          <w:numId w:val="2"/>
        </w:numPr>
      </w:pPr>
      <w:r>
        <w:t xml:space="preserve">uplatu HŠSS-a za prijevoz učenika na natjecanje</w:t>
      </w:r>
    </w:p>
    <w:p>
      <w:pPr>
        <w:pStyle w:val="ListParagraph"/>
        <w:numPr>
          <w:ilvl w:val="0"/>
          <w:numId w:val="2"/>
        </w:numPr>
      </w:pPr>
      <w:r>
        <w:t xml:space="preserve">početnu uplatu Inkubatora dječje izvrsnosti za sudjelovanje u projektu CSS Kidsc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za nabavu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8.031,50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823,7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povećanje zbog sudjelovanja u projektu participativnog budžetiranja, nabave namještaja i informatičke opreme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1.146.589,61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1.123.548,98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iznos manji zbog zatvaranja kontinuiranih rashoda vezano za plaće i materijalna prava 2024. godine u 2025. godini, a koje je od 2025. ukinuto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88.174,98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66.971,88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manji zbog manjeg broja učenika u odnosu na prethodnu školsku godinu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1.132,22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2.275,90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povećana potreba za opremanjem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Službena, radna i zaštitna odjeća i obuća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838,26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novim zaposlenicima je osigurana radna odjeća i obuća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telefona, interneta, pošte i prijevoza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4.051,10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6.209,69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153,3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povećane cijene telekomunikacijskih usluga, te prijevoz učenika na natjecanja i školu u prirodi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14.815,47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8.175,06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55,2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nije bilo toliko većih radova u odnosu na prethodno razdoblje kada se prenamijenio prostor za školsku portu, postavila čelična mreža na prozore, te su se zamijenila ulazna vrata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Zakupnine i najamnine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1.181,25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škola je iznajmila interaktivne monitore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1.450,67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4.035,57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278,2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zbog mnogih promjena u administrativno - računovodstvenom poslovanju škola je imala potrebu za dodatnom podrškom u radu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19.868,09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8.495,87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42,8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veći rashodi u prethodnom razdoblju zbog zaštitarshih usluga, dok su u ovom razdoblju zaštitari zaposleni kao djelatnici škole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1.288,80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3.629,86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281,6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povećane naknade za članove školskog odbora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Premije osiguranja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6.667,48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odnosi se na osiguranje imovine i odgovornosti koje je u ovom razdoblju odrađeno preko računa škole u odnosu na prethodna razdoblja kada je ostvareno preko Grada Zagreba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sve dospjele obveze su podmirene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is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01f2da17ec4199" /><Relationship Type="http://schemas.openxmlformats.org/officeDocument/2006/relationships/numbering" Target="/word/numbering.xml" Id="Rdef8ac057a854b00" /></Relationships>
</file>